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0537E2" w:rsidRPr="00620B19" w:rsidRDefault="000537E2" w:rsidP="000537E2">
      <w:pPr>
        <w:tabs>
          <w:tab w:val="left" w:pos="14656"/>
        </w:tabs>
        <w:jc w:val="center"/>
        <w:rPr>
          <w:b/>
          <w:sz w:val="20"/>
          <w:lang w:eastAsia="lt-LT"/>
        </w:rPr>
      </w:pPr>
      <w:r w:rsidRPr="00620B19">
        <w:rPr>
          <w:b/>
          <w:lang w:eastAsia="lt-LT"/>
        </w:rPr>
        <w:t xml:space="preserve">KLAIPĖDOS </w:t>
      </w:r>
      <w:r>
        <w:rPr>
          <w:b/>
          <w:lang w:eastAsia="lt-LT"/>
        </w:rPr>
        <w:t>„VERSMĖS“ PRO</w:t>
      </w:r>
      <w:r w:rsidRPr="00620B19">
        <w:rPr>
          <w:b/>
          <w:lang w:eastAsia="lt-LT"/>
        </w:rPr>
        <w:t>GIMNAZIJOS</w:t>
      </w:r>
    </w:p>
    <w:p w:rsidR="000537E2" w:rsidRDefault="000537E2" w:rsidP="000537E2">
      <w:pPr>
        <w:jc w:val="center"/>
        <w:rPr>
          <w:b/>
          <w:lang w:eastAsia="lt-LT"/>
        </w:rPr>
      </w:pPr>
      <w:r>
        <w:rPr>
          <w:b/>
          <w:lang w:eastAsia="lt-LT"/>
        </w:rPr>
        <w:t>2021 METŲ VEIKLOS ATASKAITA</w:t>
      </w:r>
    </w:p>
    <w:p w:rsidR="004265F3" w:rsidRPr="00970A78" w:rsidRDefault="004265F3" w:rsidP="004265F3">
      <w:pPr>
        <w:jc w:val="center"/>
        <w:rPr>
          <w:b/>
          <w:lang w:eastAsia="lt-LT"/>
        </w:rPr>
      </w:pPr>
    </w:p>
    <w:p w:rsidR="004F77F5" w:rsidRDefault="004F77F5" w:rsidP="004F77F5">
      <w:pPr>
        <w:ind w:firstLine="567"/>
        <w:jc w:val="both"/>
      </w:pPr>
      <w:r>
        <w:t xml:space="preserve">Klaipėdos „Versmės“ progimnazija (toliau – Progimnazija) įgyvendina pradinio ugdymo ir pagrindinio ugdymo programos pirmąją dalį bei neformaliojo vaikų švietimo ugdymo programas, atskirose klasėse taiko Klasikinio ugdymo sampratos elementus. 2021-09-01 duomenimis Progimnazijoje ugdyti 879 mokiniai (2020 m. – 909), iš jų 374  mokiniai – 1–4 klasėse,  535 mokiniai – 5–8 klasėse. Dirbo 66 pedagogai, t. y. 68,32 etato (2020 m. – 70,13 etato), ir 25  nepedagoginiai darbuotojai, t. y. 26,02 etato (2020 m. – 26,4 etato). </w:t>
      </w:r>
    </w:p>
    <w:p w:rsidR="004F77F5" w:rsidRDefault="004F77F5" w:rsidP="004F77F5">
      <w:pPr>
        <w:ind w:firstLine="567"/>
        <w:jc w:val="both"/>
      </w:pPr>
      <w:r>
        <w:t>Praėjusiais metais Progimnazija veikė, vadovaudamasi 2021–2023 m. strateginiu planu (toliau</w:t>
      </w:r>
    </w:p>
    <w:p w:rsidR="004F77F5" w:rsidRDefault="004F77F5" w:rsidP="004F77F5">
      <w:pPr>
        <w:tabs>
          <w:tab w:val="left" w:pos="456"/>
        </w:tabs>
        <w:ind w:firstLine="30"/>
        <w:jc w:val="both"/>
      </w:pPr>
      <w:r>
        <w:t xml:space="preserve">– Strateginis planas) ir 2021 m. veiklos planu (toliau – Veiklos planas). Progimnazijos bendruomenė 2021 m. išsikėlė šiuos tikslus: profesinis pedagogų skaitmeninio raštingumo tobulinimas (gilinimas), naudojant informacines komunikacines technologijas (toliau – IKT) ir jas integruojant į ugdymo procesą, taikant virtualias ir nuotoliniam mokymui(si) skirtas platformas; mokinių pasiekimų ir veiksmingos švietimo pagalbos įvairių gebėjimų mokiniams teikimo gerinimas, taikant mokinio pažangos matavimo sistemą; duomenų analize ir įsivertinimu pagrįstos švietimo kokybės užtikrinimas, kuriant savivaldos, socialinės partnerystės ir Progimnazijos pedagogų lyderystės darną. </w:t>
      </w:r>
    </w:p>
    <w:p w:rsidR="004F77F5" w:rsidRDefault="004F77F5" w:rsidP="004F77F5">
      <w:pPr>
        <w:ind w:firstLine="567"/>
        <w:jc w:val="both"/>
        <w:rPr>
          <w:szCs w:val="20"/>
        </w:rPr>
      </w:pPr>
      <w:r>
        <w:t xml:space="preserve">Siekiant Strateginio plano pirmojo tikslo – profesinio pedagogų skaitmeninio raštingumo tobulinimo (gilinimo), naudojant informacines komunikacines technologijas (toliau – IKT) ir jas integruojant į ugdymo procesą, taikant virtualias ir nuotoliniam mokymui(si) skirtas platformas, buvo išsikeltas uždavinys: </w:t>
      </w:r>
    </w:p>
    <w:p w:rsidR="004F77F5" w:rsidRDefault="004F77F5" w:rsidP="004F77F5">
      <w:pPr>
        <w:pStyle w:val="Sraopastraipa"/>
        <w:numPr>
          <w:ilvl w:val="0"/>
          <w:numId w:val="6"/>
        </w:numPr>
        <w:ind w:left="30" w:firstLine="537"/>
        <w:jc w:val="both"/>
        <w:rPr>
          <w:szCs w:val="24"/>
        </w:rPr>
      </w:pPr>
      <w:r>
        <w:rPr>
          <w:szCs w:val="24"/>
        </w:rPr>
        <w:t>patobulinti aplinkas, palankias mokinio mokymosi sėkmei.</w:t>
      </w:r>
      <w:r>
        <w:t xml:space="preserve"> Buvo </w:t>
      </w:r>
      <w:r>
        <w:rPr>
          <w:szCs w:val="24"/>
        </w:rPr>
        <w:t xml:space="preserve">plėtojamos bendruomenės skaitmeninio raštingumo kompetencijos, atsižvelgiant į individualius pedagogų poreikius, savišvietą, kryptingai organizuotas kvalifikacijos kėlimas. 3 pedagogai įgijo mokytojo eksperto kvalifikacinę kategoriją, 4 pedagogai – mokytojo metodininko kvalifikacinę kategoriją. 2021 metais pedagogai ir administracija, siekdami profesinės kompetencijos augimo, orientuoto į ugdymo kokybės gerinimą, 4109 valandų (daugiau nei 684 dienų) kėlė metodinę bei dalykinę kvalifikaciją kursuose bei seminaruose. Beveik pusė kvalifikacinių kursų valandų buvo skirta nuotolinio ugdymo bei skaitmeninių technologijų tobulinimui. Mokyklos mokytojai sėkmingai dalijosi patirtimi vesdami atviras pamokas: vestos 58 atviros pamokos, stebėtos 86 „Kolega-kolegai“ pamokos. Organizuotos 4 respublikinės konferencijos. 48 mokytojai parengė ir skaitė pranešimus miesto bei respublikos dalykinėse nuotolinėse konferencijose. 4 mokytojai, iš jų 3 miesto metodinių būrelių pirmininkai, parengė nuotolinio ugdymo kvalifikacijos tobulinimo programas ir vedė mokymus respublikos bei miesto mokytojams. Per 2021 metus įsigyta 20 interaktyvių ekranų, 90 kompiuterių, įkurtos dvi naujos mokymosi erdvės, aktų salėje įrengta interaktyvi siena. Atnaujintos IKT priemonės lėmė geresnį mokinių įsitraukimą bei aukštesnius ugdymo rezultatus. </w:t>
      </w:r>
    </w:p>
    <w:p w:rsidR="004F77F5" w:rsidRDefault="004F77F5" w:rsidP="004F77F5">
      <w:pPr>
        <w:ind w:firstLine="567"/>
        <w:jc w:val="both"/>
      </w:pPr>
      <w:r>
        <w:t xml:space="preserve">Siekiant Strateginio plano antrojo tikslo – mokinių pasiekimų ir veiksmingos švietimo pagalbos įvairių gebėjimų mokiniams teikimo gerinimo, taikant mokinio pažangos matavimo sistemą, buvo išsikeltas uždavinys: </w:t>
      </w:r>
    </w:p>
    <w:p w:rsidR="004F77F5" w:rsidRDefault="004F77F5" w:rsidP="004F77F5">
      <w:pPr>
        <w:pStyle w:val="Sraopastraipa"/>
        <w:numPr>
          <w:ilvl w:val="0"/>
          <w:numId w:val="6"/>
        </w:numPr>
        <w:ind w:left="30" w:firstLine="537"/>
        <w:jc w:val="both"/>
        <w:rPr>
          <w:szCs w:val="24"/>
        </w:rPr>
      </w:pPr>
      <w:r>
        <w:t>sudaryti sąlygas mokiniams ugdytis ir gerinti ugdymo proceso kokybę</w:t>
      </w:r>
      <w:r>
        <w:rPr>
          <w:szCs w:val="24"/>
        </w:rPr>
        <w:t xml:space="preserve">. 2021 m. Progimnazijos veikla buvo orientuojama į kokybišką ugdymo proceso organizavimą: tenkinami mokinių ugdymo(si) poreikiai, užtikrinama aukšta ugdymo kokybė. Įgyvendintos priemonės, užtikrinančios sveiką aplinką, žalingų įpročių prevenciją. Sudarytos sąlygos mokytojams taikyti </w:t>
      </w:r>
      <w:r>
        <w:rPr>
          <w:szCs w:val="24"/>
        </w:rPr>
        <w:lastRenderedPageBreak/>
        <w:t xml:space="preserve">naujausius ugdymo metodus, formas, būdus, informacines technologijas, organizuoti ir dalyvauti įvairiuose projektuose, konferencijose, seminaruose, dalintis gerąja darbo patirtimi. </w:t>
      </w:r>
    </w:p>
    <w:p w:rsidR="004F77F5" w:rsidRDefault="004F77F5" w:rsidP="004F77F5">
      <w:pPr>
        <w:ind w:firstLine="567"/>
        <w:jc w:val="both"/>
      </w:pPr>
      <w:r>
        <w:t xml:space="preserve">Įgyvendinant 2021 m. veiklos planą buvo siekiama kiekvieno mokinio asmeninės pažangos modelio efektyvinimo. Dėl susiklosčiusios išskirtinės situacijos, mokinio individualios pažangos stebėjimas ir fiksavimas persikėlė į virtualią erdvę – buvo sukurtas mokinio individualios pažangos internetinis fiksavimo modelis. Toks modelis leido atidžiau stebėti kiekvieno vaiko daromą pažangą, laiku pastebėti daromos pažangos pokyčius, suteikti reikiamą specialistų pagalbą. Mokiniai mokėsi vertinti save, numatyti tolimesnius ugdymo(si) uždavinius, gebėjimus, pastangas, siekius. Siekti asmeninės pažangos, planuoti ugdymosi veiklą padėjo tėvai (globėjai, rūpintojai). Siekiant mokinių asmeninės pažangos, buvo atliekama ugdymo(si) pasiekimų stebėsena: analizuoti pusmečių, standartizuotų testų (4 klasės), nacionalinių tyrimų, konkursų ir olimpiadų rezultatai, buvo stebimas ir analizuojamas mokymosi rezultatų kitimas, buvusių 8 klasių mokinių turėti pažymiai lyginti su gautais gimnazijose, kuriose tęsia mokymąsi Progimnazijos mokiniai. </w:t>
      </w:r>
    </w:p>
    <w:p w:rsidR="004F77F5" w:rsidRDefault="004F77F5" w:rsidP="004F77F5">
      <w:pPr>
        <w:ind w:firstLine="567"/>
        <w:jc w:val="both"/>
      </w:pPr>
      <w:r>
        <w:t>2021 m. mokslo metus baigė 909 moksleiviai – visi perkelti į aukštesnę klasę; 5–8 klasių metinis pažymių vidurkis – 8,4,  dešimtukais mokslo metus baigė 15 (2,8 %) 5–8 klasių mokinių, 76 (14,28 %) mokinių metinis įvertinimas 10 arba 9; 24,6 % 1–4 klasių mokinių baigė aukštesniuoju lygiu; sėkmingai buvo vykdomas pagilintas anglų kalbos mokymas; 1, 2 ir 5, 6 klasėse ugdymo procese integruoti klasikinio ugdymo sampratos elementai davė puikių rezultatų – šiose klasėse metiniai vertinimai aukščiausi: lyginant su praėjusiai metais ugdymo rezultatai pagerėjo 2%, 1k klasę 22 mokiniai baigė aukštesniuoju ir pagrindiniu lygiu, 2k klasę – 24; 5k klasės metinis pažymių vidurkis – 9,3, 6k klasės – 9,4. Mokslo metus visi Progimnazijos mokiniai baigė 100 % pažangumu.</w:t>
      </w:r>
    </w:p>
    <w:p w:rsidR="004F77F5" w:rsidRDefault="004F77F5" w:rsidP="004F77F5">
      <w:pPr>
        <w:ind w:firstLine="567"/>
        <w:jc w:val="both"/>
      </w:pPr>
      <w:r>
        <w:t>Augo mokymosi sunkumų turinčių specialiųjų ugdymosi poreikių mokinių skaičius (2020 m. – 43 mokiniai, 2021 m. – 47 mokiniai). Visiems mokiniams teikta kvalifikuota informacinė, specialioji pedagoginė, socialinė, psichologinė pagalba. 80 mokinių teikta logopedinė, 47 mokiniams – specialioji pedagoginė, 116 – psichologinė, 234 – socialinė pagalbos. 1–8 klasių mokinių nuotolinio mokymosi praradimams kompensuoti buvo papildomai skirta 676 val. ilgalaikėms ir trumpalaikėms konsultacijoms. Teisės aktų nustatyta tvarka 199 mokiniams buvo skirtas nemokamas maitinimas.</w:t>
      </w:r>
    </w:p>
    <w:p w:rsidR="004F77F5" w:rsidRDefault="004F77F5" w:rsidP="004F77F5">
      <w:pPr>
        <w:ind w:firstLine="567"/>
        <w:jc w:val="both"/>
      </w:pPr>
      <w:r>
        <w:t>Teikiant mokymosi pagalbą gabiems ir sunkumų patiriantiems mokiniams, organizuotos grupinės ir individualios konsultacijos, vykdyta savanoriška pagalba „Vaikai vaikams“.  Progimnazijoje sėkmingai veikia gabių mokinių ugdymo klubai: 1–4 klasių „Žinau, moku, galiu“; 5–8 klasių „Noriu, galiu, dirbu“, puikiai besimokančių mokinių klubas „Perlas“. 2021 m. mokiniams buvo pasiūlytos naujos neformaliojo vaikų švietimo (toliau – NŠ) veiklos: „Atverk duris kūrybiškumui“, „Estradinis-etnografinis ansamblis“, „Misterio Molio dirbtuvėlės“, ,,Jaunųjų istorikų būrelis“, 654 mokiniai dalyvavo 26 Progimnazijos ir miesto NŠ užsiėmimų veiklose. Progimnazijos mokiniai turėjo galimybę dalyvauti tarptautiniuose, respublikiniuose bei miesto konkursuose, olimpiadose, projektuose. Progimnazijos mokiniai tapo 48 konkursų, 14 olimpiadų laureatais arba prizininkais. Lietuvos progimnazijų reitinge 2021 m. pagal olimpiadų rezultatus Progimnazija yra 7–19 vietoje respublikoje (žurnalo „Reitingai“ duomenys).</w:t>
      </w:r>
    </w:p>
    <w:p w:rsidR="004F77F5" w:rsidRDefault="004F77F5" w:rsidP="004F77F5">
      <w:pPr>
        <w:tabs>
          <w:tab w:val="left" w:pos="540"/>
        </w:tabs>
        <w:ind w:firstLine="567"/>
        <w:jc w:val="both"/>
        <w:rPr>
          <w:szCs w:val="20"/>
        </w:rPr>
      </w:pPr>
      <w:r>
        <w:t xml:space="preserve">Įgyvendinant trečiąjį strateginio plano tikslą – duomenų analize ir įsivertinimu pagrįstos švietimo kokybės užtikrinimas, kuriant savivaldos, socialinės partnerystės ir Progimnazijos pedagogų lyderystės darną –buvo išsikeltas uždavinys: </w:t>
      </w:r>
    </w:p>
    <w:p w:rsidR="004F77F5" w:rsidRDefault="004F77F5" w:rsidP="004F77F5">
      <w:pPr>
        <w:tabs>
          <w:tab w:val="left" w:pos="540"/>
        </w:tabs>
        <w:ind w:firstLine="567"/>
        <w:jc w:val="both"/>
      </w:pPr>
      <w:r>
        <w:t xml:space="preserve">– stiprinti visų grandžių glaudų bendradarbiavimą, siekiant kiekvieno bendruomenės nario atsakomybės. Svarbios mokyklos bendruomenės – tėvų, mokytojų, mokinių – iniciatyvos, kuriant edukacines erdves, rengiant tradicines bendruomenės šventes, tvarkant mokyklos patalpas ir teritoriją. Nuolat gerėjanti ugdymo aplinka, savanoriška mokytojų bei mokinių veikla dar labiau sustiprino mokyklos bendruomenės ryšius, pagerino mokyklos mikroklimatą ir ugdymosi rezultatus. Progimnazijos bendruomenės nariai žino savo teises, pareigas, jomis vadovaujasi, prisiima atsakomybę. Bendruomenė dalyvauja vertinant bei įsivertinant ugdymo procesą, mokymo(si) kokybę, svarstant mokyklos biudžetą. </w:t>
      </w:r>
    </w:p>
    <w:p w:rsidR="004F77F5" w:rsidRDefault="004F77F5" w:rsidP="004F77F5">
      <w:pPr>
        <w:ind w:firstLine="567"/>
        <w:jc w:val="both"/>
      </w:pPr>
      <w:r>
        <w:lastRenderedPageBreak/>
        <w:t>Progimnazija dalyvauja 2 tarptautiniuose Erasmus+ projektuose: SHEHAP, ,,Our life in our hands!“; kituose traptautiniuose projektuose: „International LUMA Start 2021“ Suomijoje, „Mokinių žvilgsnis į Baltijos jūros ekologines problemas“, ,,Globe programos pagalba vykdant klimato tyrimus“, „Dreams &amp; Teams“, „Draugystės pynė“; respublikiniuose projektuose: „Olimpinis mėnuo“, „Tai prasideda nuo tavęs ir manęs“, bandomajame projekte ,,Išbandyta ir įvertinta. Pasaulio pažinimo vadovėlio „Taip“ medžiaga II klasei“. Nacionalinėje švietimų įstaigų projektų parodoje-mini mokymuose ,,Projektų mugė 2021“ pristatyta pamoka kitaip.</w:t>
      </w:r>
    </w:p>
    <w:p w:rsidR="004F77F5" w:rsidRDefault="004F77F5" w:rsidP="004F77F5">
      <w:pPr>
        <w:ind w:firstLine="567"/>
        <w:jc w:val="both"/>
      </w:pPr>
      <w:r>
        <w:t>Užtikrinant mokinių saugumą ir lygias ugdymo(si) galimybes, buvo įgyvendinamos 1–8 klasių LIONS QUEST socialinio emocinio ugdymo bei OLWEUS patyčių prevencijos programos. Atlikus patyčių paplitimo Progimnazijoje tyrimą, nustatyta, kad patyčių atvejų, lyginant su praėjusiais metais, sumažėjo 10,7 %; lyginant su projekto pradžia – 87 % (2008 m.). 2021 m. vykdyta  psichoaktyvių medžiagų vartojimo prevencinė programa „Gyvai“, vyko Metodinės tarybos ir Mokinių komiteto narių susirinkimas-diskusija „Efektyvus  mokymas(is). Mokytojo ir mokinio vaidmuo užtikrinant ugdymo kokybę“. Informacija apie mokinių pasiekimus, jų pokyčius pateikta Mokyklos tarybos, Mokytojų tarybos posėdžiuose, pristatyta klasių tėvų susirinkimuose.</w:t>
      </w:r>
    </w:p>
    <w:p w:rsidR="004F77F5" w:rsidRDefault="004F77F5" w:rsidP="004F77F5">
      <w:pPr>
        <w:ind w:firstLine="567"/>
        <w:jc w:val="both"/>
      </w:pPr>
      <w:r>
        <w:t>Progimnazijos pedagogų ir mokinių veikla, pasiekimai viešinti (parašyti 7 straipsniai) vietinėje bei respublikinėje spaudoje. Informacija apie Progimnazijos veiklą skelbiama internetinėje svetainėje, informaciniame mokyklos ekrane, Progimnazijos Facebook paskyroje.</w:t>
      </w:r>
    </w:p>
    <w:p w:rsidR="004F77F5" w:rsidRDefault="004F77F5" w:rsidP="004F77F5">
      <w:pPr>
        <w:ind w:firstLine="567"/>
        <w:jc w:val="both"/>
      </w:pPr>
      <w:r>
        <w:t>2021 m. Progimnazijos finansinė situacija:</w:t>
      </w:r>
    </w:p>
    <w:tbl>
      <w:tblPr>
        <w:tblStyle w:val="Lentelstinklelis"/>
        <w:tblW w:w="0" w:type="auto"/>
        <w:tblInd w:w="31" w:type="dxa"/>
        <w:tblLook w:val="04A0" w:firstRow="1" w:lastRow="0" w:firstColumn="1" w:lastColumn="0" w:noHBand="0" w:noVBand="1"/>
      </w:tblPr>
      <w:tblGrid>
        <w:gridCol w:w="2333"/>
        <w:gridCol w:w="1494"/>
        <w:gridCol w:w="1438"/>
        <w:gridCol w:w="1283"/>
        <w:gridCol w:w="2950"/>
      </w:tblGrid>
      <w:tr w:rsidR="004F77F5" w:rsidTr="004F77F5">
        <w:trPr>
          <w:tblHeader/>
        </w:trPr>
        <w:tc>
          <w:tcPr>
            <w:tcW w:w="2333" w:type="dxa"/>
            <w:vMerge w:val="restart"/>
            <w:tcBorders>
              <w:top w:val="single" w:sz="4" w:space="0" w:color="auto"/>
              <w:left w:val="single" w:sz="4" w:space="0" w:color="auto"/>
              <w:bottom w:val="single" w:sz="4" w:space="0" w:color="auto"/>
              <w:right w:val="single" w:sz="4" w:space="0" w:color="auto"/>
            </w:tcBorders>
            <w:hideMark/>
          </w:tcPr>
          <w:p w:rsidR="004F77F5" w:rsidRDefault="004F77F5">
            <w:pPr>
              <w:jc w:val="center"/>
            </w:pPr>
            <w:r>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4F77F5" w:rsidRDefault="004F77F5">
            <w:pPr>
              <w:jc w:val="center"/>
            </w:pPr>
            <w:r>
              <w:t>Lėšos (tūkst. Eur)</w:t>
            </w:r>
          </w:p>
        </w:tc>
        <w:tc>
          <w:tcPr>
            <w:tcW w:w="2950" w:type="dxa"/>
            <w:vMerge w:val="restart"/>
            <w:tcBorders>
              <w:top w:val="single" w:sz="4" w:space="0" w:color="auto"/>
              <w:left w:val="single" w:sz="4" w:space="0" w:color="auto"/>
              <w:bottom w:val="single" w:sz="4" w:space="0" w:color="auto"/>
              <w:right w:val="single" w:sz="4" w:space="0" w:color="auto"/>
            </w:tcBorders>
          </w:tcPr>
          <w:p w:rsidR="004F77F5" w:rsidRDefault="004F77F5">
            <w:pPr>
              <w:jc w:val="center"/>
            </w:pPr>
            <w:r>
              <w:t>Pastabos</w:t>
            </w:r>
          </w:p>
          <w:p w:rsidR="004F77F5" w:rsidRDefault="004F77F5">
            <w:pPr>
              <w:jc w:val="both"/>
            </w:pPr>
          </w:p>
        </w:tc>
      </w:tr>
      <w:tr w:rsidR="004F77F5" w:rsidTr="004F77F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77F5" w:rsidRDefault="004F77F5"/>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pPr>
              <w:jc w:val="center"/>
            </w:pPr>
            <w:r>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F77F5" w:rsidRDefault="004F77F5"/>
        </w:tc>
      </w:tr>
      <w:tr w:rsidR="004F77F5" w:rsidTr="004F77F5">
        <w:trPr>
          <w:trHeight w:val="415"/>
        </w:trPr>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Savivaldybės biudžetas (SB)</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325,4</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322,8</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99,13 %</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Planas neįvykdytas 0,87 % dėl nepanaudotų nemokamo maitinimo gamybos išlaidų lėšų</w:t>
            </w:r>
          </w:p>
        </w:tc>
      </w:tr>
      <w:tr w:rsidR="004F77F5" w:rsidTr="004F77F5">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Specialioji tikslinė dotacija (VB)</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1534,96</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1526,25</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99,43 %</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Planas neįvykdytas 0,57 % dėl nepanaudotų nemokamo maitinimo ir papildomai konsultacijoms skirtų lėšų</w:t>
            </w:r>
          </w:p>
        </w:tc>
      </w:tr>
      <w:tr w:rsidR="004F77F5" w:rsidTr="004F77F5">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20,9</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11,59</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55,45 %</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 xml:space="preserve">Planas neįvykdytas 44,55 </w:t>
            </w:r>
            <w:r>
              <w:rPr>
                <w:lang w:val="en-US"/>
              </w:rPr>
              <w:t xml:space="preserve">%, </w:t>
            </w:r>
            <w:r>
              <w:t>dėl Covid-19 situacijos sustabdytos patalpų nuomos ir pailgintos dienos grupės veiklos</w:t>
            </w:r>
          </w:p>
        </w:tc>
      </w:tr>
      <w:tr w:rsidR="004F77F5" w:rsidTr="004F77F5">
        <w:trPr>
          <w:trHeight w:val="143"/>
        </w:trPr>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11,59</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8,96</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 xml:space="preserve">77,31 </w:t>
            </w:r>
            <w:r>
              <w:rPr>
                <w:lang w:val="en-US"/>
              </w:rPr>
              <w:t>%</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Likutis 2,63 tūkst. Eur suplanuotas panaudoti 2022 m.</w:t>
            </w:r>
          </w:p>
        </w:tc>
      </w:tr>
      <w:tr w:rsidR="004F77F5" w:rsidTr="004F77F5">
        <w:trPr>
          <w:trHeight w:val="125"/>
        </w:trPr>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Projektų finansavimas (ES; VB;SB)</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145,45</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123,26</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84,74 %</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22,19 tūkst. Eur suplanuoti panaudoti 2022–2023 m. Erasmus+ projektų vykdymui</w:t>
            </w:r>
          </w:p>
        </w:tc>
      </w:tr>
      <w:tr w:rsidR="004F77F5" w:rsidTr="004F77F5">
        <w:tc>
          <w:tcPr>
            <w:tcW w:w="2333" w:type="dxa"/>
            <w:tcBorders>
              <w:top w:val="single" w:sz="4" w:space="0" w:color="auto"/>
              <w:left w:val="single" w:sz="4" w:space="0" w:color="auto"/>
              <w:bottom w:val="single" w:sz="4" w:space="0" w:color="auto"/>
              <w:right w:val="single" w:sz="4" w:space="0" w:color="auto"/>
            </w:tcBorders>
            <w:hideMark/>
          </w:tcPr>
          <w:p w:rsidR="004F77F5" w:rsidRDefault="004F77F5">
            <w:r>
              <w:t>Kitos lėšos (parama 2 % GM ir kt.)</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r>
              <w:t>29,52</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r>
              <w:t>13,19</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r>
              <w:t>44,68 %</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r>
              <w:t>16,33 tūkst. Eur likutis suplanuotas panaudoti 2022 m.</w:t>
            </w:r>
          </w:p>
        </w:tc>
      </w:tr>
      <w:tr w:rsidR="004F77F5" w:rsidTr="004F77F5">
        <w:trPr>
          <w:trHeight w:val="152"/>
        </w:trPr>
        <w:tc>
          <w:tcPr>
            <w:tcW w:w="2333"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Iš viso</w:t>
            </w:r>
          </w:p>
        </w:tc>
        <w:tc>
          <w:tcPr>
            <w:tcW w:w="1494"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2056,23</w:t>
            </w:r>
          </w:p>
        </w:tc>
        <w:tc>
          <w:tcPr>
            <w:tcW w:w="1438"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1994,24</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96,99 %</w:t>
            </w:r>
          </w:p>
        </w:tc>
        <w:tc>
          <w:tcPr>
            <w:tcW w:w="2950" w:type="dxa"/>
            <w:tcBorders>
              <w:top w:val="single" w:sz="4" w:space="0" w:color="auto"/>
              <w:left w:val="single" w:sz="4" w:space="0" w:color="auto"/>
              <w:bottom w:val="single" w:sz="4" w:space="0" w:color="auto"/>
              <w:right w:val="single" w:sz="4" w:space="0" w:color="auto"/>
            </w:tcBorders>
          </w:tcPr>
          <w:p w:rsidR="004F77F5" w:rsidRDefault="004F77F5">
            <w:pPr>
              <w:jc w:val="both"/>
            </w:pPr>
          </w:p>
        </w:tc>
      </w:tr>
      <w:tr w:rsidR="004F77F5" w:rsidTr="004F77F5">
        <w:tc>
          <w:tcPr>
            <w:tcW w:w="5265" w:type="dxa"/>
            <w:gridSpan w:val="3"/>
            <w:tcBorders>
              <w:top w:val="single" w:sz="4" w:space="0" w:color="auto"/>
              <w:left w:val="single" w:sz="4" w:space="0" w:color="auto"/>
              <w:bottom w:val="single" w:sz="4" w:space="0" w:color="auto"/>
              <w:right w:val="single" w:sz="4" w:space="0" w:color="auto"/>
            </w:tcBorders>
            <w:hideMark/>
          </w:tcPr>
          <w:p w:rsidR="004F77F5" w:rsidRDefault="004F77F5">
            <w:pPr>
              <w:jc w:val="both"/>
            </w:pPr>
            <w:r>
              <w:t>Kreditinis įsiskolinimas (pagal visus finansavimo šaltinius) 2022 m. sausio 1 d.</w:t>
            </w:r>
          </w:p>
        </w:tc>
        <w:tc>
          <w:tcPr>
            <w:tcW w:w="1283"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w:t>
            </w:r>
          </w:p>
        </w:tc>
        <w:tc>
          <w:tcPr>
            <w:tcW w:w="2950" w:type="dxa"/>
            <w:tcBorders>
              <w:top w:val="single" w:sz="4" w:space="0" w:color="auto"/>
              <w:left w:val="single" w:sz="4" w:space="0" w:color="auto"/>
              <w:bottom w:val="single" w:sz="4" w:space="0" w:color="auto"/>
              <w:right w:val="single" w:sz="4" w:space="0" w:color="auto"/>
            </w:tcBorders>
            <w:hideMark/>
          </w:tcPr>
          <w:p w:rsidR="004F77F5" w:rsidRDefault="004F77F5">
            <w:pPr>
              <w:jc w:val="both"/>
            </w:pPr>
            <w:r>
              <w:t>-</w:t>
            </w:r>
          </w:p>
        </w:tc>
      </w:tr>
    </w:tbl>
    <w:p w:rsidR="004F77F5" w:rsidRDefault="004F77F5" w:rsidP="004F77F5">
      <w:pPr>
        <w:ind w:firstLine="567"/>
        <w:jc w:val="both"/>
      </w:pPr>
    </w:p>
    <w:p w:rsidR="004F77F5" w:rsidRDefault="004F77F5" w:rsidP="004F77F5">
      <w:pPr>
        <w:tabs>
          <w:tab w:val="left" w:pos="284"/>
          <w:tab w:val="left" w:pos="426"/>
        </w:tabs>
        <w:ind w:firstLine="567"/>
        <w:jc w:val="both"/>
      </w:pPr>
      <w:r>
        <w:t>Atlikti patikrinimai, auditai, tikrinusių institucijų išvados:</w:t>
      </w:r>
    </w:p>
    <w:p w:rsidR="004F77F5" w:rsidRDefault="004F77F5" w:rsidP="004F77F5">
      <w:pPr>
        <w:pStyle w:val="Sraopastraipa"/>
        <w:numPr>
          <w:ilvl w:val="0"/>
          <w:numId w:val="7"/>
        </w:numPr>
        <w:tabs>
          <w:tab w:val="left" w:pos="284"/>
          <w:tab w:val="left" w:pos="426"/>
        </w:tabs>
        <w:ind w:left="0" w:firstLine="567"/>
        <w:jc w:val="both"/>
        <w:rPr>
          <w:szCs w:val="24"/>
        </w:rPr>
      </w:pPr>
      <w:r>
        <w:rPr>
          <w:szCs w:val="24"/>
        </w:rPr>
        <w:t xml:space="preserve">2021-04-23 Klaipėdos miesto savivaldybės administracijos Švietimo skyrius (vertinimo išvados Nr. ŠV2-6) vertino Klaipėdos progimnazijų karjeros specialistų veiklą. </w:t>
      </w:r>
      <w:r>
        <w:rPr>
          <w:szCs w:val="24"/>
        </w:rPr>
        <w:lastRenderedPageBreak/>
        <w:t>Nustatyta, kad „Versmės“ progimnazija kryptingai ir turiningai vykdo ugdymo karjerai veiklas. Progimnazijai rekomenduota apibendrinti turimą mokinių ugdymo karjerai patirtį ir pristatyti ją miesto bendrojo ugdymo mokykloms;</w:t>
      </w:r>
    </w:p>
    <w:p w:rsidR="004F77F5" w:rsidRDefault="004F77F5" w:rsidP="004F77F5">
      <w:pPr>
        <w:pStyle w:val="Sraopastraipa"/>
        <w:numPr>
          <w:ilvl w:val="0"/>
          <w:numId w:val="7"/>
        </w:numPr>
        <w:tabs>
          <w:tab w:val="left" w:pos="284"/>
          <w:tab w:val="left" w:pos="426"/>
        </w:tabs>
        <w:ind w:left="0" w:firstLine="567"/>
        <w:jc w:val="both"/>
        <w:rPr>
          <w:szCs w:val="24"/>
        </w:rPr>
      </w:pPr>
      <w:r>
        <w:rPr>
          <w:szCs w:val="24"/>
          <w:lang w:eastAsia="lt-LT"/>
        </w:rPr>
        <w:t xml:space="preserve">2021-12-16 </w:t>
      </w:r>
      <w:r>
        <w:rPr>
          <w:szCs w:val="24"/>
        </w:rPr>
        <w:t xml:space="preserve">Klaipėdos miesto savivaldybės administracijos Švietimo skyrius atliko </w:t>
      </w:r>
      <w:r>
        <w:rPr>
          <w:szCs w:val="24"/>
          <w:lang w:eastAsia="lt-LT"/>
        </w:rPr>
        <w:t xml:space="preserve">Progimnazijos pasirengimo įgyvendinti atnaujintas Bendrąsias programas (toliau – BP) vertinimą (vertinimo išvados Nr. ŠV2-19). Nustatyta, kad pasiruošimas įgyvendinti atnaujintas BP vyksta sklandžiai, jam tinkamai ruošiamasi, visi mokytojai dalyvauja atnaujintų BP svarstymuose bei mokymuose;  </w:t>
      </w:r>
    </w:p>
    <w:p w:rsidR="004F77F5" w:rsidRDefault="004F77F5" w:rsidP="004F77F5">
      <w:pPr>
        <w:pStyle w:val="Sraopastraipa"/>
        <w:numPr>
          <w:ilvl w:val="0"/>
          <w:numId w:val="7"/>
        </w:numPr>
        <w:tabs>
          <w:tab w:val="left" w:pos="284"/>
          <w:tab w:val="left" w:pos="426"/>
        </w:tabs>
        <w:ind w:left="0" w:firstLine="567"/>
        <w:jc w:val="both"/>
        <w:rPr>
          <w:szCs w:val="24"/>
        </w:rPr>
      </w:pPr>
      <w:r>
        <w:rPr>
          <w:szCs w:val="24"/>
          <w:lang w:eastAsia="lt-LT"/>
        </w:rPr>
        <w:t>2021-06-18 ir 2021-06-25 Klaipėdos miesto savivaldybės administracijos Švietimo skyriaus specialistai vertino Progimnazijos valstybinio matematikos ir valstybinio istorijos brandos egzaminų vykdymą. Brandos egzaminai vykdyti pagal egzaminų organizavimo ir vykdymo tvarkos aprašo reikalavimus. Visų vykdytų patikrinimų metu pažeidimų dėl Progimnazijos ir vadovo veiklos nenustatyta.</w:t>
      </w:r>
    </w:p>
    <w:p w:rsidR="004F77F5" w:rsidRDefault="004F77F5" w:rsidP="004F77F5">
      <w:pPr>
        <w:ind w:firstLine="567"/>
        <w:jc w:val="both"/>
      </w:pPr>
      <w:r>
        <w:t>Problemos</w:t>
      </w:r>
      <w:r>
        <w:rPr>
          <w:color w:val="FF0000"/>
        </w:rPr>
        <w:t xml:space="preserve"> </w:t>
      </w:r>
      <w:r>
        <w:t>(sąlygotos vidaus ir išorės faktorių). Klaipėdos „Versmės“ progimnazija pastatyta 1980 metais, pastato statybiniai elementai ir inžinerinės sistemos susidėvėję, pastatas energetiškai neefektyvus ir nuo pat pastatymo nebuvo renovuotas. Stogas padengtas rulonine danga, neapšiltintas, vietomis į pastatą bėga vanduo. Pastato pamatai, cokolis, lietaus nuotekų tinklai ir šuliniai pažeisti, techniniame pogrindyje kaupiasi vanduo, plaunami pastato pamatai, yra pastato sėdimo požymių. Tarp kolonų, perdengimo rygelių atsivėrę plyšiai, vietomis randsijų paviršius ištrupėjęs, atsidengusi armatūra, galimas gruntinio ir paviršinio vandens patekimas per pamatus. Reikalinga sutvarkyti nuogrindas apie pastatą, izoliuoti ir apšiltinti rūsio ir cokolio sienas, sutvarkyti drenažą, sustiprinti pamatus. Sienos paveiktos išorės veiksnių, pralaidžios drėgmei ir šalčiui, ant sienų kaupiasi pelėsis, atsilupa dažai. Langai pakeisti 2007 metais, per langų konstrukcijas į pastato vidų bėga vanduo, langai nesidarinėja, išlūžusios langų sistemos detalės. Centrinių laiptų langai įmontuoti į medines konstrukcijas, kurios, montuojant langus nebuvo keistos (yra 40 metų senumo). Konstrukcijos yra sudūlėjusios, supuvusios, per šias medines konstrukcijas bėga vanduo, jos nesaugios, nesandarios. Pastatui reikalingas kapitalinis remontas – renovacija.</w:t>
      </w:r>
    </w:p>
    <w:p w:rsidR="004265F3" w:rsidRDefault="004F77F5" w:rsidP="004F77F5">
      <w:pPr>
        <w:ind w:firstLine="709"/>
        <w:jc w:val="both"/>
      </w:pPr>
      <w:r>
        <w:t>Planuodama 2022 m. veiklą, Progimnazijos bendruomenė susitarė dėl prioritetinių krypčių, tikslų, kuriais siekiama užtikrinti kokybišką ugdymo procesą bei tinkamą pasirengimą atnaujintų BP (tęstinis) įgyvendinimui</w:t>
      </w:r>
      <w:r>
        <w:t>.</w:t>
      </w:r>
    </w:p>
    <w:p w:rsidR="004F77F5" w:rsidRDefault="004F77F5" w:rsidP="004F77F5">
      <w:pPr>
        <w:ind w:firstLine="709"/>
        <w:jc w:val="both"/>
      </w:pPr>
      <w:bookmarkStart w:id="2" w:name="_GoBack"/>
      <w:bookmarkEnd w:id="2"/>
    </w:p>
    <w:p w:rsidR="000537E2" w:rsidRDefault="000537E2" w:rsidP="00D74E5E">
      <w:pPr>
        <w:ind w:firstLine="709"/>
        <w:jc w:val="both"/>
      </w:pPr>
    </w:p>
    <w:p w:rsidR="00D74E5E" w:rsidRPr="00832CC9" w:rsidRDefault="000537E2" w:rsidP="00D74E5E">
      <w:pPr>
        <w:jc w:val="both"/>
      </w:pPr>
      <w:r>
        <w:t>Direktorė</w:t>
      </w:r>
      <w:r>
        <w:tab/>
      </w:r>
      <w:r>
        <w:tab/>
      </w:r>
      <w:r>
        <w:tab/>
      </w:r>
      <w:r>
        <w:tab/>
      </w:r>
      <w:r>
        <w:tab/>
      </w:r>
      <w:r>
        <w:tab/>
        <w:t>Gražina</w:t>
      </w:r>
      <w:r w:rsidR="004265F3">
        <w:t xml:space="preserve"> </w:t>
      </w:r>
      <w:r>
        <w:t>Poc</w:t>
      </w:r>
      <w:r w:rsidR="00D74E5E">
        <w:t>ienė</w:t>
      </w:r>
    </w:p>
    <w:sectPr w:rsidR="00D74E5E"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4F77F5">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F40F7"/>
    <w:multiLevelType w:val="hybridMultilevel"/>
    <w:tmpl w:val="4C9C89A2"/>
    <w:lvl w:ilvl="0" w:tplc="90EE6F2C">
      <w:numFmt w:val="bullet"/>
      <w:lvlText w:val="−"/>
      <w:lvlJc w:val="left"/>
      <w:pPr>
        <w:ind w:left="816" w:hanging="360"/>
      </w:pPr>
      <w:rPr>
        <w:rFonts w:ascii="Times New Roman" w:eastAsia="Times New Roman" w:hAnsi="Times New Roman" w:cs="Times New Roman"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 w15:restartNumberingAfterBreak="0">
    <w:nsid w:val="53DB4F8A"/>
    <w:multiLevelType w:val="hybridMultilevel"/>
    <w:tmpl w:val="B3E25D26"/>
    <w:lvl w:ilvl="0" w:tplc="90EE6F2C">
      <w:numFmt w:val="bullet"/>
      <w:lvlText w:val="−"/>
      <w:lvlJc w:val="left"/>
      <w:pPr>
        <w:ind w:left="827" w:hanging="360"/>
      </w:pPr>
      <w:rPr>
        <w:rFonts w:ascii="Times New Roman" w:eastAsia="Times New Roman" w:hAnsi="Times New Roman" w:cs="Times New Roman" w:hint="default"/>
        <w:b w:val="0"/>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2" w15:restartNumberingAfterBreak="0">
    <w:nsid w:val="5C4B72D1"/>
    <w:multiLevelType w:val="hybridMultilevel"/>
    <w:tmpl w:val="8C8C59C0"/>
    <w:lvl w:ilvl="0" w:tplc="B9743E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F166D01"/>
    <w:multiLevelType w:val="hybridMultilevel"/>
    <w:tmpl w:val="348C4B2C"/>
    <w:lvl w:ilvl="0" w:tplc="7E54CDDE">
      <w:start w:val="11"/>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 w15:restartNumberingAfterBreak="0">
    <w:nsid w:val="7E8503BF"/>
    <w:multiLevelType w:val="hybridMultilevel"/>
    <w:tmpl w:val="785A7F3C"/>
    <w:lvl w:ilvl="0" w:tplc="943AEDC6">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4"/>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537E2"/>
    <w:rsid w:val="0006079E"/>
    <w:rsid w:val="0019615E"/>
    <w:rsid w:val="0029780E"/>
    <w:rsid w:val="0034183E"/>
    <w:rsid w:val="004265F3"/>
    <w:rsid w:val="004476DD"/>
    <w:rsid w:val="004F77F5"/>
    <w:rsid w:val="00597EE8"/>
    <w:rsid w:val="005B434A"/>
    <w:rsid w:val="005F495C"/>
    <w:rsid w:val="0063341A"/>
    <w:rsid w:val="00832CC9"/>
    <w:rsid w:val="008354D5"/>
    <w:rsid w:val="008E6E82"/>
    <w:rsid w:val="00AF7D08"/>
    <w:rsid w:val="00B750B6"/>
    <w:rsid w:val="00C57681"/>
    <w:rsid w:val="00CA4D3B"/>
    <w:rsid w:val="00D42B72"/>
    <w:rsid w:val="00D57F27"/>
    <w:rsid w:val="00D74E5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12F2"/>
  <w15:docId w15:val="{B8E20F02-45E3-4E9B-B64F-DC84C246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ERP-List Paragraph"/>
    <w:basedOn w:val="prastasis"/>
    <w:link w:val="SraopastraipaDiagrama"/>
    <w:uiPriority w:val="34"/>
    <w:qFormat/>
    <w:rsid w:val="004265F3"/>
    <w:pPr>
      <w:ind w:left="720"/>
      <w:contextualSpacing/>
    </w:pPr>
    <w:rPr>
      <w:szCs w:val="20"/>
    </w:rPr>
  </w:style>
  <w:style w:type="character" w:customStyle="1" w:styleId="SraopastraipaDiagrama">
    <w:name w:val="Sąrašo pastraipa Diagrama"/>
    <w:aliases w:val="ERP-List Paragraph Diagrama"/>
    <w:link w:val="Sraopastraipa"/>
    <w:uiPriority w:val="34"/>
    <w:locked/>
    <w:rsid w:val="000537E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33668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8707</Words>
  <Characters>4963</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Simona Šliogerienė</cp:lastModifiedBy>
  <cp:revision>16</cp:revision>
  <dcterms:created xsi:type="dcterms:W3CDTF">2013-10-25T06:49:00Z</dcterms:created>
  <dcterms:modified xsi:type="dcterms:W3CDTF">2022-02-28T09:01:00Z</dcterms:modified>
</cp:coreProperties>
</file>